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F0" w:rsidRDefault="00C442F0" w:rsidP="008F6E76">
      <w:pPr>
        <w:pStyle w:val="Heading3"/>
        <w:ind w:left="360"/>
        <w:rPr>
          <w:rFonts w:ascii="Arial" w:hAnsi="Arial" w:cs="Arial"/>
          <w:sz w:val="24"/>
          <w:szCs w:val="24"/>
        </w:rPr>
      </w:pPr>
      <w:r>
        <w:rPr>
          <w:rFonts w:ascii="Arial" w:hAnsi="Arial" w:cs="Arial"/>
          <w:sz w:val="24"/>
          <w:szCs w:val="24"/>
        </w:rPr>
        <w:t>FORMULAS:</w:t>
      </w:r>
    </w:p>
    <w:p w:rsidR="00500CC8" w:rsidRPr="00C442F0" w:rsidRDefault="00500CC8" w:rsidP="00C442F0">
      <w:pPr>
        <w:pStyle w:val="Heading3"/>
        <w:numPr>
          <w:ilvl w:val="0"/>
          <w:numId w:val="2"/>
        </w:numPr>
        <w:rPr>
          <w:rFonts w:ascii="Arial" w:hAnsi="Arial" w:cs="Arial"/>
          <w:sz w:val="24"/>
          <w:szCs w:val="24"/>
        </w:rPr>
      </w:pPr>
      <w:r w:rsidRPr="00C442F0">
        <w:rPr>
          <w:rFonts w:ascii="Arial" w:hAnsi="Arial" w:cs="Arial"/>
          <w:sz w:val="24"/>
          <w:szCs w:val="24"/>
        </w:rPr>
        <w:t>Total Change in Money Supply = Initial excess reserves x Money Multiplier</w:t>
      </w:r>
    </w:p>
    <w:p w:rsidR="00500CC8" w:rsidRPr="00C442F0" w:rsidRDefault="00500CC8" w:rsidP="00C442F0">
      <w:pPr>
        <w:pStyle w:val="ListParagraph"/>
        <w:numPr>
          <w:ilvl w:val="0"/>
          <w:numId w:val="2"/>
        </w:numPr>
        <w:spacing w:before="100" w:beforeAutospacing="1" w:after="100" w:afterAutospacing="1"/>
        <w:rPr>
          <w:rFonts w:ascii="Arial" w:hAnsi="Arial" w:cs="Arial"/>
        </w:rPr>
      </w:pPr>
      <w:r w:rsidRPr="00C442F0">
        <w:rPr>
          <w:rFonts w:ascii="Arial" w:hAnsi="Arial" w:cs="Arial"/>
          <w:b/>
          <w:bCs/>
        </w:rPr>
        <w:t>Total Reserves = Cash in vault + Deposits at Fed</w:t>
      </w:r>
    </w:p>
    <w:p w:rsidR="00500CC8" w:rsidRPr="00C442F0" w:rsidRDefault="00500CC8" w:rsidP="00C442F0">
      <w:pPr>
        <w:pStyle w:val="ListParagraph"/>
        <w:numPr>
          <w:ilvl w:val="0"/>
          <w:numId w:val="2"/>
        </w:numPr>
        <w:spacing w:before="100" w:beforeAutospacing="1" w:after="100" w:afterAutospacing="1"/>
        <w:rPr>
          <w:rFonts w:ascii="Arial" w:hAnsi="Arial" w:cs="Arial"/>
        </w:rPr>
      </w:pPr>
      <w:r w:rsidRPr="00C442F0">
        <w:rPr>
          <w:rFonts w:ascii="Arial" w:hAnsi="Arial" w:cs="Arial"/>
          <w:b/>
          <w:bCs/>
        </w:rPr>
        <w:t>Required Reserves = RR x Liabilities</w:t>
      </w:r>
    </w:p>
    <w:p w:rsidR="00500CC8" w:rsidRPr="00C442F0" w:rsidRDefault="00500CC8" w:rsidP="00C442F0">
      <w:pPr>
        <w:pStyle w:val="ListParagraph"/>
        <w:numPr>
          <w:ilvl w:val="0"/>
          <w:numId w:val="2"/>
        </w:numPr>
        <w:spacing w:before="100" w:beforeAutospacing="1" w:after="100" w:afterAutospacing="1"/>
        <w:rPr>
          <w:rFonts w:ascii="Arial" w:hAnsi="Arial" w:cs="Arial"/>
        </w:rPr>
      </w:pPr>
      <w:r w:rsidRPr="00C442F0">
        <w:rPr>
          <w:rFonts w:ascii="Arial" w:hAnsi="Arial" w:cs="Arial"/>
          <w:b/>
          <w:bCs/>
        </w:rPr>
        <w:t>Excess Reserves = Total Reserves - Required Reserves</w:t>
      </w:r>
    </w:p>
    <w:p w:rsidR="00C442F0" w:rsidRPr="00C442F0" w:rsidRDefault="00500CC8" w:rsidP="00C442F0">
      <w:pPr>
        <w:pStyle w:val="ListParagraph"/>
        <w:numPr>
          <w:ilvl w:val="0"/>
          <w:numId w:val="2"/>
        </w:numPr>
        <w:spacing w:before="100" w:beforeAutospacing="1" w:after="100" w:afterAutospacing="1"/>
        <w:rPr>
          <w:rFonts w:ascii="Arial" w:hAnsi="Arial" w:cs="Arial"/>
          <w:b/>
          <w:bCs/>
        </w:rPr>
      </w:pPr>
      <w:r w:rsidRPr="00C442F0">
        <w:rPr>
          <w:rFonts w:ascii="Arial" w:hAnsi="Arial" w:cs="Arial"/>
          <w:b/>
          <w:bCs/>
        </w:rPr>
        <w:t>Money Multiplier = 1 / RR</w:t>
      </w:r>
    </w:p>
    <w:tbl>
      <w:tblPr>
        <w:tblStyle w:val="TableGrid"/>
        <w:tblW w:w="0" w:type="auto"/>
        <w:tblInd w:w="360" w:type="dxa"/>
        <w:tblLook w:val="04A0" w:firstRow="1" w:lastRow="0" w:firstColumn="1" w:lastColumn="0" w:noHBand="0" w:noVBand="1"/>
      </w:tblPr>
      <w:tblGrid>
        <w:gridCol w:w="5209"/>
        <w:gridCol w:w="5221"/>
      </w:tblGrid>
      <w:tr w:rsidR="00C442F0" w:rsidTr="00C442F0">
        <w:tc>
          <w:tcPr>
            <w:tcW w:w="5395" w:type="dxa"/>
            <w:shd w:val="clear" w:color="auto" w:fill="D0CECE" w:themeFill="background2" w:themeFillShade="E6"/>
          </w:tcPr>
          <w:p w:rsidR="00C442F0" w:rsidRDefault="00C442F0" w:rsidP="00C442F0">
            <w:pPr>
              <w:spacing w:before="100" w:beforeAutospacing="1" w:after="100" w:afterAutospacing="1"/>
              <w:jc w:val="center"/>
              <w:rPr>
                <w:rFonts w:ascii="Arial" w:hAnsi="Arial" w:cs="Arial"/>
                <w:b/>
                <w:bCs/>
                <w:sz w:val="28"/>
                <w:szCs w:val="28"/>
              </w:rPr>
            </w:pPr>
            <w:r>
              <w:rPr>
                <w:rFonts w:ascii="Arial" w:hAnsi="Arial" w:cs="Arial"/>
                <w:b/>
                <w:bCs/>
                <w:sz w:val="28"/>
                <w:szCs w:val="28"/>
              </w:rPr>
              <w:t>ASSETS</w:t>
            </w:r>
          </w:p>
        </w:tc>
        <w:tc>
          <w:tcPr>
            <w:tcW w:w="5395" w:type="dxa"/>
            <w:shd w:val="clear" w:color="auto" w:fill="D0CECE" w:themeFill="background2" w:themeFillShade="E6"/>
          </w:tcPr>
          <w:p w:rsidR="00C442F0" w:rsidRDefault="00C442F0" w:rsidP="00C442F0">
            <w:pPr>
              <w:spacing w:before="100" w:beforeAutospacing="1" w:after="100" w:afterAutospacing="1"/>
              <w:jc w:val="center"/>
              <w:rPr>
                <w:rFonts w:ascii="Arial" w:hAnsi="Arial" w:cs="Arial"/>
                <w:b/>
                <w:bCs/>
                <w:sz w:val="28"/>
                <w:szCs w:val="28"/>
              </w:rPr>
            </w:pPr>
            <w:r>
              <w:rPr>
                <w:rFonts w:ascii="Arial" w:hAnsi="Arial" w:cs="Arial"/>
                <w:b/>
                <w:bCs/>
                <w:sz w:val="28"/>
                <w:szCs w:val="28"/>
              </w:rPr>
              <w:t>LIABILITIES + NET WORTH</w:t>
            </w:r>
          </w:p>
        </w:tc>
      </w:tr>
      <w:tr w:rsidR="00C442F0" w:rsidTr="00C442F0">
        <w:tc>
          <w:tcPr>
            <w:tcW w:w="5395" w:type="dxa"/>
          </w:tcPr>
          <w:p w:rsidR="00C442F0" w:rsidRDefault="00C442F0" w:rsidP="00C442F0">
            <w:pPr>
              <w:tabs>
                <w:tab w:val="left" w:pos="2851"/>
              </w:tabs>
              <w:spacing w:before="100" w:beforeAutospacing="1" w:after="100" w:afterAutospacing="1"/>
              <w:rPr>
                <w:rFonts w:ascii="Arial" w:hAnsi="Arial" w:cs="Arial"/>
                <w:b/>
                <w:bCs/>
                <w:sz w:val="28"/>
                <w:szCs w:val="28"/>
              </w:rPr>
            </w:pPr>
            <w:r>
              <w:rPr>
                <w:rFonts w:ascii="Arial" w:hAnsi="Arial" w:cs="Arial"/>
                <w:b/>
                <w:bCs/>
                <w:sz w:val="28"/>
                <w:szCs w:val="28"/>
              </w:rPr>
              <w:t>Reserves   $200</w:t>
            </w:r>
          </w:p>
        </w:tc>
        <w:tc>
          <w:tcPr>
            <w:tcW w:w="5395" w:type="dxa"/>
          </w:tcPr>
          <w:p w:rsidR="00C442F0" w:rsidRDefault="00C442F0" w:rsidP="00500CC8">
            <w:pPr>
              <w:spacing w:before="100" w:beforeAutospacing="1" w:after="100" w:afterAutospacing="1"/>
              <w:rPr>
                <w:rFonts w:ascii="Arial" w:hAnsi="Arial" w:cs="Arial"/>
                <w:b/>
                <w:bCs/>
                <w:sz w:val="28"/>
                <w:szCs w:val="28"/>
              </w:rPr>
            </w:pPr>
            <w:r>
              <w:rPr>
                <w:rFonts w:ascii="Arial" w:hAnsi="Arial" w:cs="Arial"/>
                <w:b/>
                <w:bCs/>
                <w:sz w:val="28"/>
                <w:szCs w:val="28"/>
              </w:rPr>
              <w:t>Checkable Deposits      $600</w:t>
            </w:r>
          </w:p>
        </w:tc>
      </w:tr>
      <w:tr w:rsidR="00C442F0" w:rsidTr="00C442F0">
        <w:tc>
          <w:tcPr>
            <w:tcW w:w="5395" w:type="dxa"/>
          </w:tcPr>
          <w:p w:rsidR="00C442F0" w:rsidRDefault="00C442F0" w:rsidP="00500CC8">
            <w:pPr>
              <w:spacing w:before="100" w:beforeAutospacing="1" w:after="100" w:afterAutospacing="1"/>
              <w:rPr>
                <w:rFonts w:ascii="Arial" w:hAnsi="Arial" w:cs="Arial"/>
                <w:b/>
                <w:bCs/>
                <w:sz w:val="28"/>
                <w:szCs w:val="28"/>
              </w:rPr>
            </w:pPr>
            <w:r>
              <w:rPr>
                <w:rFonts w:ascii="Arial" w:hAnsi="Arial" w:cs="Arial"/>
                <w:b/>
                <w:bCs/>
                <w:sz w:val="28"/>
                <w:szCs w:val="28"/>
              </w:rPr>
              <w:t>Loans          100</w:t>
            </w:r>
          </w:p>
        </w:tc>
        <w:tc>
          <w:tcPr>
            <w:tcW w:w="5395" w:type="dxa"/>
          </w:tcPr>
          <w:p w:rsidR="00C442F0" w:rsidRDefault="00C442F0" w:rsidP="00500CC8">
            <w:pPr>
              <w:spacing w:before="100" w:beforeAutospacing="1" w:after="100" w:afterAutospacing="1"/>
              <w:rPr>
                <w:rFonts w:ascii="Arial" w:hAnsi="Arial" w:cs="Arial"/>
                <w:b/>
                <w:bCs/>
                <w:sz w:val="28"/>
                <w:szCs w:val="28"/>
              </w:rPr>
            </w:pPr>
            <w:r>
              <w:rPr>
                <w:rFonts w:ascii="Arial" w:hAnsi="Arial" w:cs="Arial"/>
                <w:b/>
                <w:bCs/>
                <w:sz w:val="28"/>
                <w:szCs w:val="28"/>
              </w:rPr>
              <w:t>Stock Shares                   700</w:t>
            </w:r>
          </w:p>
        </w:tc>
      </w:tr>
      <w:tr w:rsidR="00C442F0" w:rsidTr="00C442F0">
        <w:tc>
          <w:tcPr>
            <w:tcW w:w="5395" w:type="dxa"/>
          </w:tcPr>
          <w:p w:rsidR="00C442F0" w:rsidRDefault="00C442F0" w:rsidP="00500CC8">
            <w:pPr>
              <w:spacing w:before="100" w:beforeAutospacing="1" w:after="100" w:afterAutospacing="1"/>
              <w:rPr>
                <w:rFonts w:ascii="Arial" w:hAnsi="Arial" w:cs="Arial"/>
                <w:b/>
                <w:bCs/>
                <w:sz w:val="28"/>
                <w:szCs w:val="28"/>
              </w:rPr>
            </w:pPr>
            <w:r>
              <w:rPr>
                <w:rFonts w:ascii="Arial" w:hAnsi="Arial" w:cs="Arial"/>
                <w:b/>
                <w:bCs/>
                <w:sz w:val="28"/>
                <w:szCs w:val="28"/>
              </w:rPr>
              <w:t>Securities    500</w:t>
            </w:r>
          </w:p>
        </w:tc>
        <w:tc>
          <w:tcPr>
            <w:tcW w:w="5395" w:type="dxa"/>
          </w:tcPr>
          <w:p w:rsidR="00C442F0" w:rsidRDefault="00C442F0" w:rsidP="00500CC8">
            <w:pPr>
              <w:spacing w:before="100" w:beforeAutospacing="1" w:after="100" w:afterAutospacing="1"/>
              <w:rPr>
                <w:rFonts w:ascii="Arial" w:hAnsi="Arial" w:cs="Arial"/>
                <w:b/>
                <w:bCs/>
                <w:sz w:val="28"/>
                <w:szCs w:val="28"/>
              </w:rPr>
            </w:pPr>
          </w:p>
        </w:tc>
      </w:tr>
      <w:tr w:rsidR="00C442F0" w:rsidTr="00C442F0">
        <w:tc>
          <w:tcPr>
            <w:tcW w:w="5395" w:type="dxa"/>
          </w:tcPr>
          <w:p w:rsidR="00C442F0" w:rsidRDefault="00C442F0" w:rsidP="00500CC8">
            <w:pPr>
              <w:spacing w:before="100" w:beforeAutospacing="1" w:after="100" w:afterAutospacing="1"/>
              <w:rPr>
                <w:rFonts w:ascii="Arial" w:hAnsi="Arial" w:cs="Arial"/>
                <w:b/>
                <w:bCs/>
                <w:sz w:val="28"/>
                <w:szCs w:val="28"/>
              </w:rPr>
            </w:pPr>
            <w:r>
              <w:rPr>
                <w:rFonts w:ascii="Arial" w:hAnsi="Arial" w:cs="Arial"/>
                <w:b/>
                <w:bCs/>
                <w:sz w:val="28"/>
                <w:szCs w:val="28"/>
              </w:rPr>
              <w:t>Property      500</w:t>
            </w:r>
          </w:p>
        </w:tc>
        <w:tc>
          <w:tcPr>
            <w:tcW w:w="5395" w:type="dxa"/>
          </w:tcPr>
          <w:p w:rsidR="00C442F0" w:rsidRDefault="00C442F0" w:rsidP="00500CC8">
            <w:pPr>
              <w:spacing w:before="100" w:beforeAutospacing="1" w:after="100" w:afterAutospacing="1"/>
              <w:rPr>
                <w:rFonts w:ascii="Arial" w:hAnsi="Arial" w:cs="Arial"/>
                <w:b/>
                <w:bCs/>
                <w:sz w:val="28"/>
                <w:szCs w:val="28"/>
              </w:rPr>
            </w:pPr>
          </w:p>
        </w:tc>
      </w:tr>
    </w:tbl>
    <w:p w:rsidR="00C442F0" w:rsidRPr="00C442F0" w:rsidRDefault="00C442F0" w:rsidP="00C442F0">
      <w:pPr>
        <w:keepNext/>
        <w:keepLines/>
        <w:widowControl w:val="0"/>
        <w:autoSpaceDE w:val="0"/>
        <w:autoSpaceDN w:val="0"/>
        <w:adjustRightInd w:val="0"/>
        <w:spacing w:before="319" w:after="319"/>
        <w:rPr>
          <w:rFonts w:ascii="Arial" w:hAnsi="Arial" w:cs="Arial"/>
          <w:color w:val="000000"/>
        </w:rPr>
      </w:pPr>
      <w:r w:rsidRPr="00C442F0">
        <w:rPr>
          <w:rFonts w:ascii="Arial" w:hAnsi="Arial" w:cs="Arial"/>
          <w:b/>
          <w:color w:val="000000"/>
        </w:rPr>
        <w:t>Refer to the above information for a single bank.  The required (legal) reserve ratio is 25%. This bank can safely expand its loans by a maximum of:</w:t>
      </w:r>
      <w:r w:rsidRPr="00C442F0">
        <w:rPr>
          <w:rFonts w:ascii="Arial" w:hAnsi="Arial" w:cs="Arial"/>
          <w:color w:val="000000"/>
        </w:rPr>
        <w:t> </w:t>
      </w:r>
      <w:r w:rsidRPr="00C442F0">
        <w:rPr>
          <w:rFonts w:ascii="Arial" w:hAnsi="Arial" w:cs="Arial"/>
          <w:color w:val="000000"/>
        </w:rPr>
        <w:br/>
        <w:t>1.      $0</w:t>
      </w:r>
      <w:r w:rsidRPr="00C442F0">
        <w:rPr>
          <w:rFonts w:ascii="Arial" w:hAnsi="Arial" w:cs="Arial"/>
          <w:color w:val="000000"/>
        </w:rPr>
        <w:br/>
        <w:t>2.    $50</w:t>
      </w:r>
      <w:r w:rsidRPr="00C442F0">
        <w:rPr>
          <w:rFonts w:ascii="Arial" w:hAnsi="Arial" w:cs="Arial"/>
          <w:color w:val="000000"/>
        </w:rPr>
        <w:br/>
        <w:t>3.  $100</w:t>
      </w:r>
      <w:r w:rsidRPr="00C442F0">
        <w:rPr>
          <w:rFonts w:ascii="Arial" w:hAnsi="Arial" w:cs="Arial"/>
          <w:color w:val="000000"/>
        </w:rPr>
        <w:br/>
        <w:t>4.  $200</w:t>
      </w:r>
    </w:p>
    <w:p w:rsidR="00C442F0" w:rsidRDefault="00C442F0" w:rsidP="00C442F0">
      <w:pPr>
        <w:keepNext/>
        <w:keepLines/>
        <w:widowControl w:val="0"/>
        <w:autoSpaceDE w:val="0"/>
        <w:autoSpaceDN w:val="0"/>
        <w:adjustRightInd w:val="0"/>
        <w:spacing w:before="319" w:after="319"/>
        <w:rPr>
          <w:rFonts w:ascii="Arial" w:hAnsi="Arial" w:cs="Arial"/>
          <w:b/>
          <w:color w:val="000000"/>
        </w:rPr>
      </w:pPr>
    </w:p>
    <w:p w:rsidR="00C442F0" w:rsidRDefault="00C442F0" w:rsidP="00C442F0">
      <w:pPr>
        <w:keepNext/>
        <w:keepLines/>
        <w:widowControl w:val="0"/>
        <w:autoSpaceDE w:val="0"/>
        <w:autoSpaceDN w:val="0"/>
        <w:adjustRightInd w:val="0"/>
        <w:spacing w:before="319" w:after="319"/>
        <w:rPr>
          <w:rFonts w:ascii="Arial" w:hAnsi="Arial" w:cs="Arial"/>
          <w:b/>
          <w:color w:val="000000"/>
        </w:rPr>
      </w:pPr>
    </w:p>
    <w:p w:rsidR="00C442F0" w:rsidRDefault="00C442F0" w:rsidP="00C442F0">
      <w:pPr>
        <w:keepNext/>
        <w:keepLines/>
        <w:widowControl w:val="0"/>
        <w:autoSpaceDE w:val="0"/>
        <w:autoSpaceDN w:val="0"/>
        <w:adjustRightInd w:val="0"/>
        <w:spacing w:before="319" w:after="319"/>
        <w:rPr>
          <w:rFonts w:ascii="Arial" w:hAnsi="Arial" w:cs="Arial"/>
          <w:b/>
          <w:color w:val="000000"/>
        </w:rPr>
      </w:pPr>
    </w:p>
    <w:p w:rsidR="00C442F0" w:rsidRPr="00C442F0" w:rsidRDefault="00C442F0" w:rsidP="00C442F0">
      <w:pPr>
        <w:keepNext/>
        <w:keepLines/>
        <w:widowControl w:val="0"/>
        <w:autoSpaceDE w:val="0"/>
        <w:autoSpaceDN w:val="0"/>
        <w:adjustRightInd w:val="0"/>
        <w:spacing w:before="319" w:after="319"/>
        <w:rPr>
          <w:rFonts w:ascii="Arial" w:hAnsi="Arial" w:cs="Arial"/>
          <w:color w:val="000000"/>
        </w:rPr>
      </w:pPr>
      <w:r w:rsidRPr="00C442F0">
        <w:rPr>
          <w:rFonts w:ascii="Arial" w:hAnsi="Arial" w:cs="Arial"/>
          <w:b/>
          <w:color w:val="000000"/>
        </w:rPr>
        <w:t>Refer to the above information. The required (legal) reserve ratio is 25%. If the original bank balance sheet was for the commercial banking system, rather than a single bank, loans and deposits could have been expanded by a maximum of: </w:t>
      </w:r>
      <w:r w:rsidRPr="00C442F0">
        <w:rPr>
          <w:rFonts w:ascii="Arial" w:hAnsi="Arial" w:cs="Arial"/>
          <w:color w:val="000000"/>
        </w:rPr>
        <w:br/>
        <w:t>1.     $0</w:t>
      </w:r>
      <w:r w:rsidRPr="00C442F0">
        <w:rPr>
          <w:rFonts w:ascii="Arial" w:hAnsi="Arial" w:cs="Arial"/>
          <w:color w:val="000000"/>
        </w:rPr>
        <w:br/>
        <w:t>2.    $50</w:t>
      </w:r>
      <w:r w:rsidRPr="00C442F0">
        <w:rPr>
          <w:rFonts w:ascii="Arial" w:hAnsi="Arial" w:cs="Arial"/>
          <w:color w:val="000000"/>
        </w:rPr>
        <w:br/>
        <w:t>3.  $100</w:t>
      </w:r>
      <w:r w:rsidRPr="00C442F0">
        <w:rPr>
          <w:rFonts w:ascii="Arial" w:hAnsi="Arial" w:cs="Arial"/>
          <w:color w:val="000000"/>
        </w:rPr>
        <w:br/>
        <w:t>4.  $200</w:t>
      </w:r>
    </w:p>
    <w:p w:rsidR="00C442F0" w:rsidRDefault="00C442F0" w:rsidP="00C442F0">
      <w:pPr>
        <w:spacing w:before="100" w:beforeAutospacing="1" w:after="100" w:afterAutospacing="1"/>
        <w:rPr>
          <w:rFonts w:ascii="Arial" w:hAnsi="Arial" w:cs="Arial"/>
          <w:b/>
        </w:rPr>
      </w:pPr>
    </w:p>
    <w:p w:rsidR="00C442F0" w:rsidRDefault="00C442F0" w:rsidP="00C442F0">
      <w:pPr>
        <w:spacing w:before="100" w:beforeAutospacing="1" w:after="100" w:afterAutospacing="1"/>
        <w:rPr>
          <w:rFonts w:ascii="Arial" w:hAnsi="Arial" w:cs="Arial"/>
          <w:b/>
        </w:rPr>
      </w:pPr>
    </w:p>
    <w:p w:rsidR="00C442F0" w:rsidRDefault="00C442F0" w:rsidP="00C442F0">
      <w:pPr>
        <w:spacing w:before="100" w:beforeAutospacing="1" w:after="100" w:afterAutospacing="1"/>
        <w:rPr>
          <w:rFonts w:ascii="Arial" w:hAnsi="Arial" w:cs="Arial"/>
          <w:b/>
        </w:rPr>
      </w:pPr>
    </w:p>
    <w:p w:rsidR="00C442F0" w:rsidRDefault="00C442F0" w:rsidP="00C442F0">
      <w:pPr>
        <w:spacing w:before="100" w:beforeAutospacing="1" w:after="100" w:afterAutospacing="1"/>
        <w:rPr>
          <w:rFonts w:ascii="Arial" w:hAnsi="Arial" w:cs="Arial"/>
          <w:color w:val="000000"/>
        </w:rPr>
      </w:pPr>
      <w:r w:rsidRPr="00C442F0">
        <w:rPr>
          <w:rFonts w:ascii="Arial" w:hAnsi="Arial" w:cs="Arial"/>
          <w:b/>
        </w:rPr>
        <w:t xml:space="preserve">What is your answer to </w:t>
      </w:r>
      <w:r>
        <w:rPr>
          <w:rFonts w:ascii="Arial" w:hAnsi="Arial" w:cs="Arial"/>
          <w:b/>
        </w:rPr>
        <w:t xml:space="preserve">the question </w:t>
      </w:r>
      <w:r w:rsidRPr="00C442F0">
        <w:rPr>
          <w:rFonts w:ascii="Arial" w:hAnsi="Arial" w:cs="Arial"/>
          <w:b/>
        </w:rPr>
        <w:t>above if the Fed lowered the Required Reserve ratio to 20%?</w:t>
      </w:r>
      <w:r w:rsidRPr="00C442F0">
        <w:rPr>
          <w:rFonts w:ascii="Arial" w:hAnsi="Arial" w:cs="Arial"/>
          <w:b/>
        </w:rPr>
        <w:br/>
      </w:r>
      <w:r w:rsidRPr="00C442F0">
        <w:rPr>
          <w:rFonts w:ascii="Arial" w:hAnsi="Arial" w:cs="Arial"/>
          <w:color w:val="000000"/>
        </w:rPr>
        <w:t>1.   $200</w:t>
      </w:r>
      <w:r w:rsidRPr="00C442F0">
        <w:rPr>
          <w:rFonts w:ascii="Arial" w:hAnsi="Arial" w:cs="Arial"/>
          <w:color w:val="000000"/>
        </w:rPr>
        <w:br/>
        <w:t>2.   $250</w:t>
      </w:r>
      <w:r w:rsidRPr="00C442F0">
        <w:rPr>
          <w:rFonts w:ascii="Arial" w:hAnsi="Arial" w:cs="Arial"/>
          <w:color w:val="000000"/>
        </w:rPr>
        <w:br/>
        <w:t>3.   $400</w:t>
      </w:r>
      <w:r w:rsidRPr="00C442F0">
        <w:rPr>
          <w:rFonts w:ascii="Arial" w:hAnsi="Arial" w:cs="Arial"/>
          <w:color w:val="000000"/>
        </w:rPr>
        <w:br/>
        <w:t>4.   $600</w:t>
      </w:r>
    </w:p>
    <w:p w:rsidR="00A33AC9" w:rsidRDefault="00A33AC9" w:rsidP="00C442F0">
      <w:pPr>
        <w:spacing w:before="100" w:beforeAutospacing="1" w:after="100" w:afterAutospacing="1"/>
        <w:rPr>
          <w:rFonts w:ascii="Arial" w:hAnsi="Arial" w:cs="Arial"/>
          <w:color w:val="000000"/>
        </w:rPr>
      </w:pPr>
    </w:p>
    <w:p w:rsidR="00A33AC9" w:rsidRDefault="00A33AC9" w:rsidP="00A33AC9">
      <w:pPr>
        <w:pStyle w:val="NormalWeb"/>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1"/>
        <w:gridCol w:w="2085"/>
      </w:tblGrid>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tcPr>
          <w:p w:rsidR="00A33AC9" w:rsidRDefault="00A33AC9" w:rsidP="00171CD5">
            <w:pPr>
              <w:jc w:val="center"/>
            </w:pPr>
            <w:r>
              <w:rPr>
                <w:b/>
                <w:bCs/>
              </w:rPr>
              <w:t>ASSETS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5"/>
              <w:gridCol w:w="465"/>
            </w:tblGrid>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Reserves</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$20</w:t>
                  </w:r>
                </w:p>
              </w:tc>
            </w:tr>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Securities</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 xml:space="preserve">  50 </w:t>
                  </w:r>
                </w:p>
              </w:tc>
            </w:tr>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Loans</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 xml:space="preserve">  10</w:t>
                  </w:r>
                </w:p>
              </w:tc>
            </w:tr>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Property</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 xml:space="preserve">  30</w:t>
                  </w:r>
                </w:p>
              </w:tc>
            </w:tr>
          </w:tbl>
          <w:p w:rsidR="00A33AC9" w:rsidRDefault="00A33AC9" w:rsidP="00171CD5"/>
        </w:tc>
        <w:tc>
          <w:tcPr>
            <w:tcW w:w="0" w:type="auto"/>
            <w:tcBorders>
              <w:top w:val="outset" w:sz="6" w:space="0" w:color="auto"/>
              <w:left w:val="outset" w:sz="6" w:space="0" w:color="auto"/>
              <w:bottom w:val="outset" w:sz="6" w:space="0" w:color="auto"/>
              <w:right w:val="outset" w:sz="6" w:space="0" w:color="auto"/>
            </w:tcBorders>
          </w:tcPr>
          <w:p w:rsidR="00A33AC9" w:rsidRDefault="00A33AC9" w:rsidP="00171CD5">
            <w:pPr>
              <w:jc w:val="center"/>
            </w:pPr>
            <w:r>
              <w:rPr>
                <w:b/>
                <w:bCs/>
              </w:rPr>
              <w:t>LIABILITIES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9"/>
              <w:gridCol w:w="465"/>
            </w:tblGrid>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Deposits</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$50</w:t>
                  </w:r>
                </w:p>
              </w:tc>
            </w:tr>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Capital Stock</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 xml:space="preserve">  60</w:t>
                  </w:r>
                </w:p>
              </w:tc>
            </w:tr>
          </w:tbl>
          <w:p w:rsidR="00A33AC9" w:rsidRDefault="00A33AC9" w:rsidP="00171CD5"/>
        </w:tc>
      </w:tr>
    </w:tbl>
    <w:p w:rsidR="00A33AC9" w:rsidRDefault="00A33AC9" w:rsidP="00A33AC9">
      <w:pPr>
        <w:pStyle w:val="NormalWeb"/>
      </w:pPr>
      <w:r>
        <w:t>(a) What is the amount of excess reserves in this commercial banking system?</w:t>
      </w:r>
    </w:p>
    <w:p w:rsidR="00A33AC9" w:rsidRDefault="00A33AC9" w:rsidP="00A33AC9">
      <w:pPr>
        <w:pStyle w:val="NormalWeb"/>
      </w:pPr>
      <w:r>
        <w:t>(b) What is the maximum amount that the money supply can be expanded?</w:t>
      </w:r>
    </w:p>
    <w:p w:rsidR="00A33AC9" w:rsidRDefault="00A33AC9" w:rsidP="00A33AC9">
      <w:pPr>
        <w:pStyle w:val="NormalWeb"/>
      </w:pPr>
      <w:r>
        <w:t>(c) If the reserve ratio fell to 25 percent, what is now the maximum amount that the money supply can be expanded?</w:t>
      </w:r>
    </w:p>
    <w:p w:rsidR="00A33AC9" w:rsidRDefault="00A33AC9" w:rsidP="00A33AC9">
      <w:pPr>
        <w:pStyle w:val="NormalWeb"/>
      </w:pPr>
    </w:p>
    <w:p w:rsidR="00A33AC9" w:rsidRDefault="00A33AC9" w:rsidP="00A33AC9">
      <w:pPr>
        <w:pStyle w:val="NormalWeb"/>
      </w:pPr>
      <w:r>
        <w:rPr>
          <w:b/>
          <w:bCs/>
        </w:rPr>
        <w:t>4. Answer the next question based on the following consolidated balance sheet for the commercial banking system. Assume the required reserve ratio is 20 percent. All figures are in billions of dollars.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1"/>
        <w:gridCol w:w="2205"/>
      </w:tblGrid>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tcPr>
          <w:p w:rsidR="00A33AC9" w:rsidRDefault="00A33AC9" w:rsidP="00171CD5">
            <w:pPr>
              <w:jc w:val="center"/>
            </w:pPr>
            <w:r>
              <w:rPr>
                <w:b/>
                <w:bCs/>
              </w:rPr>
              <w:t>ASSETS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5"/>
              <w:gridCol w:w="465"/>
            </w:tblGrid>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Reserves</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$60</w:t>
                  </w:r>
                </w:p>
              </w:tc>
            </w:tr>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Securities</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 xml:space="preserve">140 </w:t>
                  </w:r>
                </w:p>
              </w:tc>
            </w:tr>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Loans</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100</w:t>
                  </w:r>
                </w:p>
              </w:tc>
            </w:tr>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Property</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400</w:t>
                  </w:r>
                </w:p>
              </w:tc>
            </w:tr>
          </w:tbl>
          <w:p w:rsidR="00A33AC9" w:rsidRDefault="00A33AC9" w:rsidP="00171CD5"/>
        </w:tc>
        <w:tc>
          <w:tcPr>
            <w:tcW w:w="0" w:type="auto"/>
            <w:tcBorders>
              <w:top w:val="outset" w:sz="6" w:space="0" w:color="auto"/>
              <w:left w:val="outset" w:sz="6" w:space="0" w:color="auto"/>
              <w:bottom w:val="outset" w:sz="6" w:space="0" w:color="auto"/>
              <w:right w:val="outset" w:sz="6" w:space="0" w:color="auto"/>
            </w:tcBorders>
          </w:tcPr>
          <w:p w:rsidR="00A33AC9" w:rsidRDefault="00A33AC9" w:rsidP="00171CD5">
            <w:pPr>
              <w:jc w:val="center"/>
            </w:pPr>
            <w:r>
              <w:rPr>
                <w:b/>
                <w:bCs/>
              </w:rPr>
              <w:t>LIABILITIES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9"/>
              <w:gridCol w:w="585"/>
            </w:tblGrid>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Deposits</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$200</w:t>
                  </w:r>
                </w:p>
              </w:tc>
            </w:tr>
            <w:tr w:rsidR="00A33AC9" w:rsidTr="00171C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Capital Stock</w:t>
                  </w:r>
                </w:p>
              </w:tc>
              <w:tc>
                <w:tcPr>
                  <w:tcW w:w="0" w:type="auto"/>
                  <w:tcBorders>
                    <w:top w:val="outset" w:sz="6" w:space="0" w:color="auto"/>
                    <w:left w:val="outset" w:sz="6" w:space="0" w:color="auto"/>
                    <w:bottom w:val="outset" w:sz="6" w:space="0" w:color="auto"/>
                    <w:right w:val="outset" w:sz="6" w:space="0" w:color="auto"/>
                  </w:tcBorders>
                  <w:vAlign w:val="center"/>
                </w:tcPr>
                <w:p w:rsidR="00A33AC9" w:rsidRDefault="00A33AC9" w:rsidP="00171CD5">
                  <w:pPr>
                    <w:pStyle w:val="NormalWeb"/>
                  </w:pPr>
                  <w:r>
                    <w:rPr>
                      <w:b/>
                      <w:bCs/>
                    </w:rPr>
                    <w:t xml:space="preserve">  500</w:t>
                  </w:r>
                </w:p>
              </w:tc>
            </w:tr>
          </w:tbl>
          <w:p w:rsidR="00A33AC9" w:rsidRDefault="00A33AC9" w:rsidP="00171CD5"/>
        </w:tc>
      </w:tr>
    </w:tbl>
    <w:p w:rsidR="00A33AC9" w:rsidRPr="002426CE" w:rsidRDefault="00A33AC9" w:rsidP="00A33AC9">
      <w:pPr>
        <w:pStyle w:val="NormalWeb"/>
      </w:pPr>
      <w:r w:rsidRPr="002426CE">
        <w:t>(a) What is the amount of excess reserves in this commercial banking system?</w:t>
      </w:r>
    </w:p>
    <w:p w:rsidR="00A33AC9" w:rsidRPr="002426CE" w:rsidRDefault="00A33AC9" w:rsidP="00A33AC9">
      <w:pPr>
        <w:pStyle w:val="NormalWeb"/>
      </w:pPr>
      <w:r w:rsidRPr="002426CE">
        <w:t>(b) What is the maximum amount that the money supply can be expanded?</w:t>
      </w:r>
    </w:p>
    <w:p w:rsidR="00A33AC9" w:rsidRPr="00A33AC9" w:rsidRDefault="00A33AC9" w:rsidP="00A33AC9">
      <w:pPr>
        <w:pStyle w:val="NormalWeb"/>
        <w:rPr>
          <w:b/>
          <w:bCs/>
          <w:sz w:val="27"/>
          <w:szCs w:val="27"/>
        </w:rPr>
      </w:pPr>
      <w:r w:rsidRPr="002426CE">
        <w:t>(c) If the reserve ratio fell to 10 percent, what is now the maximum amount that t</w:t>
      </w:r>
      <w:r>
        <w:t xml:space="preserve">he money supply can be </w:t>
      </w:r>
      <w:proofErr w:type="gramStart"/>
      <w:r>
        <w:t>expanded</w:t>
      </w:r>
      <w:bookmarkStart w:id="0" w:name="_GoBack"/>
      <w:bookmarkEnd w:id="0"/>
      <w:proofErr w:type="gramEnd"/>
    </w:p>
    <w:sectPr w:rsidR="00A33AC9" w:rsidRPr="00A33AC9" w:rsidSect="00500CC8">
      <w:footerReference w:type="default" r:id="rId5"/>
      <w:footerReference w:type="firs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31" w:rsidRDefault="00A33AC9">
    <w:pPr>
      <w:pStyle w:val="Footer"/>
      <w:jc w:val="right"/>
    </w:pPr>
    <w:r>
      <w:fldChar w:fldCharType="begin"/>
    </w:r>
    <w:r>
      <w:instrText xml:space="preserve"> PAGE   \* MERGEFORMAT </w:instrText>
    </w:r>
    <w:r>
      <w:fldChar w:fldCharType="separate"/>
    </w:r>
    <w:r>
      <w:rPr>
        <w:noProof/>
      </w:rPr>
      <w:t>2</w:t>
    </w:r>
    <w:r>
      <w:rPr>
        <w:noProof/>
      </w:rPr>
      <w:fldChar w:fldCharType="end"/>
    </w:r>
  </w:p>
  <w:p w:rsidR="00A72631" w:rsidRDefault="00A33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31" w:rsidRDefault="00A33AC9">
    <w:pPr>
      <w:pStyle w:val="Footer"/>
      <w:jc w:val="right"/>
    </w:pPr>
    <w:r>
      <w:fldChar w:fldCharType="begin"/>
    </w:r>
    <w:r>
      <w:instrText xml:space="preserve"> PAGE   \* MERGEFORMAT </w:instrText>
    </w:r>
    <w:r>
      <w:fldChar w:fldCharType="separate"/>
    </w:r>
    <w:r>
      <w:rPr>
        <w:noProof/>
      </w:rPr>
      <w:t>1</w:t>
    </w:r>
    <w:r>
      <w:rPr>
        <w:noProof/>
      </w:rPr>
      <w:fldChar w:fldCharType="end"/>
    </w:r>
  </w:p>
  <w:p w:rsidR="00A72631" w:rsidRDefault="00A33AC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34AB0"/>
    <w:multiLevelType w:val="multilevel"/>
    <w:tmpl w:val="09FEB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3D5C82"/>
    <w:multiLevelType w:val="hybridMultilevel"/>
    <w:tmpl w:val="4C34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C8"/>
    <w:rsid w:val="00264EF6"/>
    <w:rsid w:val="00500CC8"/>
    <w:rsid w:val="008F6E76"/>
    <w:rsid w:val="00A33AC9"/>
    <w:rsid w:val="00C4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BBE34-AD65-4895-9E6E-DF481033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CC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500CC8"/>
    <w:pPr>
      <w:spacing w:before="100" w:beforeAutospacing="1" w:after="100" w:afterAutospacing="1"/>
      <w:outlineLvl w:val="2"/>
    </w:pPr>
    <w:rPr>
      <w:rFonts w:eastAsia="SimSu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0CC8"/>
    <w:rPr>
      <w:rFonts w:ascii="Times New Roman" w:eastAsia="SimSun" w:hAnsi="Times New Roman" w:cs="Times New Roman"/>
      <w:b/>
      <w:bCs/>
      <w:sz w:val="27"/>
      <w:szCs w:val="27"/>
      <w:lang w:eastAsia="zh-CN"/>
    </w:rPr>
  </w:style>
  <w:style w:type="table" w:styleId="TableGrid">
    <w:name w:val="Table Grid"/>
    <w:basedOn w:val="TableNormal"/>
    <w:uiPriority w:val="39"/>
    <w:rsid w:val="00C44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42F0"/>
    <w:pPr>
      <w:ind w:left="720"/>
      <w:contextualSpacing/>
    </w:pPr>
  </w:style>
  <w:style w:type="paragraph" w:styleId="Footer">
    <w:name w:val="footer"/>
    <w:basedOn w:val="Normal"/>
    <w:link w:val="FooterChar"/>
    <w:uiPriority w:val="99"/>
    <w:rsid w:val="00A33AC9"/>
    <w:pPr>
      <w:tabs>
        <w:tab w:val="center" w:pos="4320"/>
        <w:tab w:val="right" w:pos="8640"/>
      </w:tabs>
    </w:pPr>
  </w:style>
  <w:style w:type="character" w:customStyle="1" w:styleId="FooterChar">
    <w:name w:val="Footer Char"/>
    <w:basedOn w:val="DefaultParagraphFont"/>
    <w:link w:val="Footer"/>
    <w:uiPriority w:val="99"/>
    <w:rsid w:val="00A33AC9"/>
    <w:rPr>
      <w:rFonts w:ascii="Times New Roman" w:eastAsia="Times New Roman" w:hAnsi="Times New Roman" w:cs="Times New Roman"/>
      <w:sz w:val="24"/>
      <w:szCs w:val="24"/>
    </w:rPr>
  </w:style>
  <w:style w:type="paragraph" w:styleId="NormalWeb">
    <w:name w:val="Normal (Web)"/>
    <w:basedOn w:val="Normal"/>
    <w:uiPriority w:val="99"/>
    <w:rsid w:val="00A33AC9"/>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dc:creator>
  <cp:keywords/>
  <dc:description/>
  <cp:lastModifiedBy>Harper</cp:lastModifiedBy>
  <cp:revision>3</cp:revision>
  <dcterms:created xsi:type="dcterms:W3CDTF">2018-01-21T18:21:00Z</dcterms:created>
  <dcterms:modified xsi:type="dcterms:W3CDTF">2018-01-21T18:42:00Z</dcterms:modified>
</cp:coreProperties>
</file>