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C1" w:rsidRPr="003E5AB3" w:rsidRDefault="002711C1" w:rsidP="003E5AB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44. The labor market for teachers in a small, isolated community that has one school district would be best described as </w:t>
      </w:r>
      <w:proofErr w:type="gramStart"/>
      <w:r>
        <w:rPr>
          <w:color w:val="000000"/>
        </w:rPr>
        <w:t>a(</w:t>
      </w:r>
      <w:proofErr w:type="gramEnd"/>
      <w:r>
        <w:rPr>
          <w:color w:val="000000"/>
        </w:rPr>
        <w:t>n): </w:t>
      </w:r>
      <w:r>
        <w:rPr>
          <w:color w:val="000000"/>
        </w:rPr>
        <w:br/>
        <w:t>A. Natural monopoly</w:t>
      </w:r>
      <w:r>
        <w:rPr>
          <w:color w:val="000000"/>
        </w:rPr>
        <w:br/>
        <w:t>B. Bilateral monopoly</w:t>
      </w:r>
      <w:r>
        <w:rPr>
          <w:color w:val="000000"/>
        </w:rPr>
        <w:br/>
        <w:t>C. 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br/>
        <w:t>D. </w:t>
      </w:r>
      <w:proofErr w:type="spellStart"/>
      <w:r>
        <w:rPr>
          <w:color w:val="000000"/>
        </w:rPr>
        <w:t>Oligopsony</w:t>
      </w:r>
      <w:proofErr w:type="spellEnd"/>
    </w:p>
    <w:p w:rsidR="002711C1" w:rsidRDefault="002711C1" w:rsidP="002711C1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45. For a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in the labor market, the marginal resource cost of labor is: </w:t>
      </w:r>
      <w:r>
        <w:rPr>
          <w:color w:val="000000"/>
        </w:rPr>
        <w:br/>
        <w:t>A. Higher than the wage rate or price of labor</w:t>
      </w:r>
      <w:r>
        <w:rPr>
          <w:color w:val="000000"/>
        </w:rPr>
        <w:br/>
        <w:t>B. Less than the wage rate or price of labor</w:t>
      </w:r>
      <w:r>
        <w:rPr>
          <w:color w:val="000000"/>
        </w:rPr>
        <w:br/>
        <w:t>C. Equal to the wage rate or price of labor</w:t>
      </w:r>
      <w:r>
        <w:rPr>
          <w:color w:val="000000"/>
        </w:rPr>
        <w:br/>
        <w:t>D. Inversely related to the wage rate or price of labor</w:t>
      </w:r>
    </w:p>
    <w:p w:rsidR="002711C1" w:rsidRDefault="002711C1" w:rsidP="003E5AB3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>
        <w:rPr>
          <w:color w:val="000000"/>
        </w:rPr>
        <w:t xml:space="preserve">46. Professional sports leagues, like the NFL and the NBA, are good examples of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because: </w:t>
      </w:r>
      <w:r>
        <w:rPr>
          <w:color w:val="000000"/>
        </w:rPr>
        <w:br/>
        <w:t>A. They are dominant providers of sports entertainment</w:t>
      </w:r>
      <w:r>
        <w:rPr>
          <w:color w:val="000000"/>
        </w:rPr>
        <w:br/>
        <w:t>B. They are the only employers of professional athletes in their respective sports</w:t>
      </w:r>
      <w:r>
        <w:rPr>
          <w:color w:val="000000"/>
        </w:rPr>
        <w:br/>
        <w:t>C. They are large corporations owned be small groups</w:t>
      </w:r>
      <w:r>
        <w:rPr>
          <w:color w:val="000000"/>
        </w:rPr>
        <w:br/>
        <w:t>D. They operate large facilities and stadiums</w:t>
      </w:r>
    </w:p>
    <w:p w:rsidR="002711C1" w:rsidRDefault="002711C1" w:rsidP="002711C1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2857500" cy="1343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2711C1" w:rsidRPr="003E5AB3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</w:rPr>
        <w:t>47. A firm faces the labor productivity and cost schedule in the table above. What is the marginal resource cost of the seventh worker? </w:t>
      </w:r>
      <w:r>
        <w:rPr>
          <w:color w:val="000000"/>
        </w:rPr>
        <w:br/>
        <w:t>A. $11</w:t>
      </w:r>
      <w:r>
        <w:rPr>
          <w:color w:val="000000"/>
        </w:rPr>
        <w:br/>
        <w:t>B. $13</w:t>
      </w:r>
      <w:r>
        <w:rPr>
          <w:color w:val="000000"/>
        </w:rPr>
        <w:br/>
        <w:t>C. $15</w:t>
      </w:r>
      <w:r>
        <w:rPr>
          <w:color w:val="000000"/>
        </w:rPr>
        <w:br/>
        <w:t>D. $17</w:t>
      </w:r>
    </w:p>
    <w:p w:rsidR="003E5AB3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3E5AB3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</w:rPr>
        <w:t>48. A firm faces the labor productivity and cost schedule in the table above. How many workers will this profit-maximizing firm employ? </w:t>
      </w:r>
      <w:r>
        <w:rPr>
          <w:color w:val="000000"/>
        </w:rPr>
        <w:br/>
        <w:t>A. 6</w:t>
      </w:r>
      <w:r>
        <w:rPr>
          <w:color w:val="000000"/>
        </w:rPr>
        <w:br/>
        <w:t>B. 7</w:t>
      </w:r>
      <w:r>
        <w:rPr>
          <w:color w:val="000000"/>
        </w:rPr>
        <w:br/>
        <w:t>C. 8</w:t>
      </w:r>
      <w:r>
        <w:rPr>
          <w:color w:val="000000"/>
        </w:rPr>
        <w:br/>
        <w:t>D. 9</w:t>
      </w:r>
    </w:p>
    <w:p w:rsidR="002711C1" w:rsidRPr="003E5AB3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</w:rPr>
        <w:lastRenderedPageBreak/>
        <w:t>49. A firm faces the labor productivity and cost schedule in the table above. The wage rate schedule suggests that the firm: </w:t>
      </w:r>
      <w:r>
        <w:rPr>
          <w:color w:val="000000"/>
        </w:rPr>
        <w:br/>
        <w:t>A. </w:t>
      </w: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purely competitive in the labor market</w:t>
      </w:r>
      <w:r>
        <w:rPr>
          <w:color w:val="000000"/>
        </w:rPr>
        <w:br/>
        <w:t>B. Is purely competitive in the product market</w:t>
      </w:r>
      <w:r>
        <w:rPr>
          <w:color w:val="000000"/>
        </w:rPr>
        <w:br/>
        <w:t>C. Has some monopoly power in the product market</w:t>
      </w:r>
      <w:r>
        <w:rPr>
          <w:color w:val="000000"/>
        </w:rPr>
        <w:br/>
        <w:t>D. Is not purely competitive in the labor market</w:t>
      </w:r>
    </w:p>
    <w:p w:rsidR="002711C1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3267075" cy="24384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2711C1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</w:rPr>
        <w:t xml:space="preserve">50. The profit-maximizing level of employment by the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in the labor market shown above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A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B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C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D</w:t>
      </w:r>
    </w:p>
    <w:p w:rsidR="002711C1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3810000" cy="24098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3E5AB3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</w:rPr>
        <w:t>51. Refer to the above graph. Under purely competitive conditions in this labor market, the equilibrium wage rate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</w:p>
    <w:p w:rsidR="002711C1" w:rsidRPr="003E5AB3" w:rsidRDefault="002711C1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52. Refer to the above graph. Under a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in this labor market, the equilibrium wage rate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workers will be hired</w:t>
      </w:r>
    </w:p>
    <w:p w:rsidR="002711C1" w:rsidRDefault="002711C1" w:rsidP="002711C1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53. Refer to the above graph. Comparing a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against a purely competitive labor market, the difference in the equilibrium wage rate will be: </w:t>
      </w:r>
      <w:r>
        <w:rPr>
          <w:color w:val="000000"/>
        </w:rPr>
        <w:br/>
        <w:t>A.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  <w:r>
        <w:rPr>
          <w:color w:val="000000"/>
        </w:rPr>
        <w:br/>
        <w:t>D. 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W</w:t>
      </w:r>
      <w:r>
        <w:rPr>
          <w:color w:val="000000"/>
          <w:vertAlign w:val="subscript"/>
        </w:rPr>
        <w:t>3</w:t>
      </w:r>
    </w:p>
    <w:p w:rsidR="002711C1" w:rsidRPr="003E5AB3" w:rsidRDefault="002711C1" w:rsidP="002711C1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</w:rPr>
        <w:t xml:space="preserve">54. Compared to a purely competitive firm, a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will pay: </w:t>
      </w:r>
      <w:r>
        <w:rPr>
          <w:color w:val="000000"/>
        </w:rPr>
        <w:br/>
        <w:t>A. A higher wage rate to its workers</w:t>
      </w:r>
      <w:r>
        <w:rPr>
          <w:color w:val="000000"/>
        </w:rPr>
        <w:br/>
        <w:t>B. Lower wages but hire more workers than the purely competitive firm</w:t>
      </w:r>
      <w:r>
        <w:rPr>
          <w:color w:val="000000"/>
        </w:rPr>
        <w:br/>
        <w:t>C. Lower wage rates and hire fewer workers than the purely competitive firm</w:t>
      </w:r>
      <w:r>
        <w:rPr>
          <w:color w:val="000000"/>
        </w:rPr>
        <w:br/>
        <w:t>D. Lower wages while hiring the same quantity of workers as the purely competitive firm</w:t>
      </w:r>
      <w:r>
        <w:rPr>
          <w:color w:val="000000"/>
          <w:sz w:val="18"/>
          <w:szCs w:val="18"/>
        </w:rPr>
        <w:t> </w:t>
      </w:r>
    </w:p>
    <w:p w:rsidR="00FD27CF" w:rsidRDefault="00FD27CF" w:rsidP="00FD27C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lastRenderedPageBreak/>
        <w:t>86. Exclusive unionism has the economic effect of: </w:t>
      </w:r>
      <w:r>
        <w:rPr>
          <w:color w:val="000000"/>
        </w:rPr>
        <w:br/>
        <w:t>A. Strengthening the bargaining position of an industrial union</w:t>
      </w:r>
      <w:r>
        <w:rPr>
          <w:color w:val="000000"/>
        </w:rPr>
        <w:br/>
        <w:t>B. Weakening the bargaining position of a craft union</w:t>
      </w:r>
      <w:r>
        <w:rPr>
          <w:color w:val="000000"/>
        </w:rPr>
        <w:br/>
        <w:t>C. Decreasing the supply of labor</w:t>
      </w:r>
      <w:r>
        <w:rPr>
          <w:color w:val="000000"/>
        </w:rPr>
        <w:br/>
        <w:t>D. Increasing the demand for labor</w:t>
      </w:r>
    </w:p>
    <w:p w:rsidR="00FD27CF" w:rsidRDefault="00FD27CF" w:rsidP="00FD27C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90. When the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model is combined with the inclusive union model the result is a case of: </w:t>
      </w:r>
      <w:r>
        <w:rPr>
          <w:color w:val="000000"/>
        </w:rPr>
        <w:br/>
        <w:t>A. Occupational licensing</w:t>
      </w:r>
      <w:r>
        <w:rPr>
          <w:color w:val="000000"/>
        </w:rPr>
        <w:br/>
        <w:t>B. Noncompeting groups</w:t>
      </w:r>
      <w:r>
        <w:rPr>
          <w:color w:val="000000"/>
        </w:rPr>
        <w:br/>
        <w:t>C. Bilateral monopoly</w:t>
      </w:r>
      <w:r>
        <w:rPr>
          <w:color w:val="000000"/>
        </w:rPr>
        <w:br/>
        <w:t xml:space="preserve">D. Institutional </w:t>
      </w:r>
      <w:proofErr w:type="spellStart"/>
      <w:r>
        <w:rPr>
          <w:color w:val="000000"/>
        </w:rPr>
        <w:t>immobilities</w:t>
      </w:r>
      <w:proofErr w:type="spellEnd"/>
    </w:p>
    <w:p w:rsidR="00FD27CF" w:rsidRDefault="00FD27CF" w:rsidP="00FD27C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  </w:t>
      </w:r>
      <w:r>
        <w:rPr>
          <w:noProof/>
          <w:color w:val="000000"/>
        </w:rPr>
        <w:drawing>
          <wp:inline distT="0" distB="0" distL="0" distR="0">
            <wp:extent cx="3314700" cy="24479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FD27CF" w:rsidRDefault="00FD27CF" w:rsidP="00FD27C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 xml:space="preserve">91. Refer to the above graph. A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will set the wage at: </w:t>
      </w:r>
      <w:r>
        <w:rPr>
          <w:color w:val="000000"/>
        </w:rPr>
        <w:br/>
        <w:t>A. </w:t>
      </w:r>
      <w:proofErr w:type="spellStart"/>
      <w:proofErr w:type="gramStart"/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c</w:t>
      </w:r>
      <w:proofErr w:type="spellEnd"/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u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m</w:t>
      </w:r>
      <w:r>
        <w:rPr>
          <w:color w:val="000000"/>
        </w:rPr>
        <w:br/>
        <w:t>D</w:t>
      </w:r>
      <w:proofErr w:type="gramEnd"/>
      <w:r>
        <w:rPr>
          <w:color w:val="000000"/>
        </w:rPr>
        <w:t>. Cannot be determined</w:t>
      </w:r>
    </w:p>
    <w:p w:rsidR="00FD27CF" w:rsidRDefault="00FD27CF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> </w:t>
      </w:r>
      <w:r>
        <w:rPr>
          <w:color w:val="000000"/>
        </w:rPr>
        <w:t>92. Refer to the above graph. An inclusive union or an industrial union will set the wage rate at: </w:t>
      </w:r>
      <w:r>
        <w:rPr>
          <w:color w:val="000000"/>
        </w:rPr>
        <w:br/>
        <w:t>A. </w:t>
      </w:r>
      <w:proofErr w:type="spellStart"/>
      <w:proofErr w:type="gramStart"/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c</w:t>
      </w:r>
      <w:proofErr w:type="spellEnd"/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u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m</w:t>
      </w:r>
      <w:r>
        <w:rPr>
          <w:color w:val="000000"/>
        </w:rPr>
        <w:br/>
        <w:t>D</w:t>
      </w:r>
      <w:proofErr w:type="gramEnd"/>
      <w:r>
        <w:rPr>
          <w:color w:val="000000"/>
        </w:rPr>
        <w:t>. Cannot be determined</w:t>
      </w:r>
    </w:p>
    <w:p w:rsidR="003E5AB3" w:rsidRDefault="00FD27CF" w:rsidP="003E5AB3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FD27CF" w:rsidRDefault="00FD27CF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93. Refer to the above graph. If a </w:t>
      </w:r>
      <w:proofErr w:type="spellStart"/>
      <w:r>
        <w:rPr>
          <w:color w:val="000000"/>
        </w:rPr>
        <w:t>monopsonist</w:t>
      </w:r>
      <w:proofErr w:type="spellEnd"/>
      <w:r>
        <w:rPr>
          <w:color w:val="000000"/>
        </w:rPr>
        <w:t xml:space="preserve"> bargains with an inclusive union, as shown, the wage rate will be: </w:t>
      </w:r>
      <w:r>
        <w:rPr>
          <w:color w:val="000000"/>
        </w:rPr>
        <w:br/>
        <w:t>A. </w:t>
      </w:r>
      <w:proofErr w:type="spellStart"/>
      <w:proofErr w:type="gramStart"/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c</w:t>
      </w:r>
      <w:proofErr w:type="spellEnd"/>
      <w:r>
        <w:rPr>
          <w:color w:val="000000"/>
        </w:rPr>
        <w:br/>
        <w:t>B. </w:t>
      </w:r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u</w:t>
      </w:r>
      <w:r>
        <w:rPr>
          <w:color w:val="000000"/>
        </w:rPr>
        <w:br/>
        <w:t>C. </w:t>
      </w:r>
      <w:r>
        <w:rPr>
          <w:i/>
          <w:iCs/>
          <w:color w:val="000000"/>
        </w:rPr>
        <w:t>W</w:t>
      </w:r>
      <w:r>
        <w:rPr>
          <w:i/>
          <w:iCs/>
          <w:color w:val="000000"/>
          <w:vertAlign w:val="subscript"/>
        </w:rPr>
        <w:t>m</w:t>
      </w:r>
      <w:r>
        <w:rPr>
          <w:color w:val="000000"/>
        </w:rPr>
        <w:br/>
        <w:t>D</w:t>
      </w:r>
      <w:proofErr w:type="gramEnd"/>
      <w:r>
        <w:rPr>
          <w:color w:val="000000"/>
        </w:rPr>
        <w:t>. Indeterminate in the graph</w:t>
      </w:r>
    </w:p>
    <w:p w:rsidR="00FD27CF" w:rsidRDefault="00FD27CF" w:rsidP="003E5AB3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lastRenderedPageBreak/>
        <w:t> </w:t>
      </w:r>
      <w:r>
        <w:rPr>
          <w:color w:val="000000"/>
        </w:rPr>
        <w:t>94. A bilateral monopoly is a situation where a firm is: </w:t>
      </w:r>
      <w:r>
        <w:rPr>
          <w:color w:val="000000"/>
        </w:rPr>
        <w:br/>
        <w:t xml:space="preserve">A. A monopoly in its product market and is a </w:t>
      </w:r>
      <w:proofErr w:type="spellStart"/>
      <w:r>
        <w:rPr>
          <w:color w:val="000000"/>
        </w:rPr>
        <w:t>monopsony</w:t>
      </w:r>
      <w:proofErr w:type="spellEnd"/>
      <w:r>
        <w:rPr>
          <w:color w:val="000000"/>
        </w:rPr>
        <w:t xml:space="preserve"> in its labor market</w:t>
      </w:r>
      <w:r>
        <w:rPr>
          <w:color w:val="000000"/>
        </w:rPr>
        <w:br/>
        <w:t>B. The only employer of a resource and is acquiring that resource from a single supplier</w:t>
      </w:r>
      <w:r>
        <w:rPr>
          <w:color w:val="000000"/>
        </w:rPr>
        <w:br/>
        <w:t>C. </w:t>
      </w:r>
      <w:proofErr w:type="gramStart"/>
      <w:r>
        <w:rPr>
          <w:color w:val="000000"/>
        </w:rPr>
        <w:t>One of only two firms that produce a particular product</w:t>
      </w:r>
      <w:r>
        <w:rPr>
          <w:color w:val="000000"/>
        </w:rPr>
        <w:br/>
        <w:t>D.</w:t>
      </w:r>
      <w:proofErr w:type="gramEnd"/>
      <w:r>
        <w:rPr>
          <w:color w:val="000000"/>
        </w:rPr>
        <w:t> The only buyer of a resource and also the only seller of a product</w:t>
      </w:r>
    </w:p>
    <w:p w:rsidR="002711C1" w:rsidRDefault="002711C1"/>
    <w:sectPr w:rsidR="002711C1" w:rsidSect="00B4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1C1"/>
    <w:rsid w:val="002711C1"/>
    <w:rsid w:val="003E5AB3"/>
    <w:rsid w:val="00510BFD"/>
    <w:rsid w:val="00696383"/>
    <w:rsid w:val="00B47B66"/>
    <w:rsid w:val="00BF46E0"/>
    <w:rsid w:val="00FD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3</cp:revision>
  <dcterms:created xsi:type="dcterms:W3CDTF">2013-04-15T14:41:00Z</dcterms:created>
  <dcterms:modified xsi:type="dcterms:W3CDTF">2013-04-19T20:42:00Z</dcterms:modified>
</cp:coreProperties>
</file>